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  <w:t xml:space="preserve">USHUAIA, XX de febrero de XXX.</w:t>
      </w:r>
    </w:p>
    <w:p w:rsidR="00000000" w:rsidDel="00000000" w:rsidP="00000000" w:rsidRDefault="00000000" w:rsidRPr="00000000" w14:paraId="00000003">
      <w:pPr>
        <w:widowControl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Señores Miembros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 Comité Asesor de 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Infraestructura de Datos Espaciales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 la Tierra del Fuego AIAS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En mi carácter de </w:t>
      </w:r>
      <w:r w:rsidDel="00000000" w:rsidR="00000000" w:rsidRPr="00000000">
        <w:rPr>
          <w:i w:val="1"/>
          <w:rtl w:val="0"/>
        </w:rPr>
        <w:t xml:space="preserve">Ministro/Secretario/Director/Rector de “Nombre de la Organización”, </w:t>
      </w:r>
      <w:r w:rsidDel="00000000" w:rsidR="00000000" w:rsidRPr="00000000">
        <w:rPr>
          <w:rtl w:val="0"/>
        </w:rPr>
        <w:t xml:space="preserve">en adelante </w:t>
      </w:r>
      <w:r w:rsidDel="00000000" w:rsidR="00000000" w:rsidRPr="00000000">
        <w:rPr>
          <w:i w:val="1"/>
          <w:rtl w:val="0"/>
        </w:rPr>
        <w:t xml:space="preserve">“Siglas o Nombre abreviado de la Organización”</w:t>
      </w:r>
      <w:r w:rsidDel="00000000" w:rsidR="00000000" w:rsidRPr="00000000">
        <w:rPr>
          <w:rtl w:val="0"/>
        </w:rPr>
        <w:t xml:space="preserve">, me dirijo a ustedes para manifestar el propósito de integrar a este Organismo, a los esfuerzos de desarrollo de la IDETDF.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Considerando, que las Infraestructuras de Datos Espaciales (IDE) constituyen una herramienta necesaria para mejorar el acceso a Ia información geoespacial por parte de los organismos de gobierno, entes académicos, de investigación, del sector privado, no gubernamental y el público en general, permitiendo acceder a datos, productos y servicios geoespaciales, publicados en internet bajo los mismos estándares y normas, asegurando su interoperabilidad y uso, logrando su integración, con el propósito de reducir costos, evitar la duplicación de esfuerzos, promover Ia confianza, el respeto y la cooperación.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Que en el ámbito nacional se ha constituido la Infraestructura de Datos Espaciales de la República Argentina (IDERA), la que fue consolidándose en el año 2007 a través de  jornadas de trabajo anuales celebradas en distintas ciudades del país, siendo en la V Jornada IDERA del  5 y 6 de agosto de 2010 cuando se firmó el Acta Acuerdo que permitió  la conformación de una plataforma de trabajo integrada por miembros de los ámbitos nacional, provincial y local, de un Equipo de Coordinación, de los grupos de trabajo y estableció que la Coordinación Ejecutiva está a cargo del Instituto Geográfico Nacional. Asimismo, los firmantes acordaron incorporar a esta comunidad de información a todos los actores que lo soliciten conforme sus competencias.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Que la IDETDF fue consolidándose desde el año 2016 con la firma de la adhesión a la Infraestructura de Datos Espaciales de la República Argentina (IDERA), y a través de la coordinación de jornadas y cursos de capacitación.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Que Ia Provincia de Tierra del Fuego AIAS necesita una infraestructura de Datos Espaciales que brinde información oportuna, eficiente y confiable, que coordine todos los esfuerzos existentes en Ia materia y establezca un marco propicio para Ia integración de todos los datos y los actores que sistemáticamente puedan usarla y aportarla. Una IDE que democratice el acceso a la información de acuerdo a la política de datos de cada institución y aporte una herramienta invalorable para la identificación de políticas y la toma de decisiones del Estado y demás actores en todos sus niveles.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POR CONSIGUIENTE: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………..ORGANISMO …………  adhiere a Ia INFRAESTRUCTURA DE DATOS ESPACIALES DE LA PROVINCIA DE TIERRA DEL FUEGO, ANTÁRTIDA E ISLAS DEL ATLÁNTICO SUR: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- manifiesta su acuerdo en la necesidad de que la Provincia de Tierra del Fuego AIAS cuente con una infraestructura de Datos Espaciales, que brinde información eficiente y oportuna como un aporte fundamental a Ia democratización del acceso a la información espacialmente referenciada y al apoyo en la toma de decisiones en las diferentes actividades del Estado y de los particulares, abarcando los ámbitos privados, académico, no gubernamental y sociedad civil.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- suscribe a los objetivos en el decreto de creación de la IDETDF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- acepta Ia actual organización de IDETDF, que puede ser reconsiderada por Ia Asamblea cuando lo estime necesario, y se compromete a propiciar la participación de sus miembros en los diferentes ámbitos que pudieran corresponder (Asamblea, Equipo Coordinador, Grupos y Áreas de Trabajo).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- se compromete a conocer y a aplicar los estándares y normas generados por IDERA para la producción y publicación de información geoespacial.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Información sobre la organización adherente: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Referente n° 1 político/técnico de articulación</w:t>
      </w:r>
    </w:p>
    <w:tbl>
      <w:tblPr>
        <w:tblStyle w:val="Table1"/>
        <w:tblW w:w="9688.0" w:type="dxa"/>
        <w:jc w:val="left"/>
        <w:tblInd w:w="5.0" w:type="dxa"/>
        <w:tblLayout w:type="fixed"/>
        <w:tblLook w:val="0000"/>
      </w:tblPr>
      <w:tblGrid>
        <w:gridCol w:w="4844"/>
        <w:gridCol w:w="4844"/>
        <w:tblGridChange w:id="0">
          <w:tblGrid>
            <w:gridCol w:w="4844"/>
            <w:gridCol w:w="48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Provincia: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TIERRA DEL FUEGO, ANTÁRTIDA E ISLAS DEL ATLÁNTICO SUR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de Organización: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Representante asignado</w:t>
            </w:r>
          </w:p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Nombre, Apellido y Cargo: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Teléfonos: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Correo Electrónico: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Toda otra Información que pueda resultar de interés: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Referente n° 2 político/técnico de articulación</w:t>
      </w:r>
    </w:p>
    <w:tbl>
      <w:tblPr>
        <w:tblStyle w:val="Table2"/>
        <w:tblW w:w="9688.0" w:type="dxa"/>
        <w:jc w:val="left"/>
        <w:tblInd w:w="5.0" w:type="dxa"/>
        <w:tblLayout w:type="fixed"/>
        <w:tblLook w:val="0000"/>
      </w:tblPr>
      <w:tblGrid>
        <w:gridCol w:w="4844"/>
        <w:gridCol w:w="4844"/>
        <w:tblGridChange w:id="0">
          <w:tblGrid>
            <w:gridCol w:w="4844"/>
            <w:gridCol w:w="48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Provincia: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TIERRA DEL FUEGO, ANTÁRTIDA E ISLAS DEL ATLÁNTICO SUR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de Organización: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Representante asignado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Nombre, Apellido y Cargo: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Teléfonos: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Correo Electrónico: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Toda otra Información que pueda resultar de interés: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0"/>
        </w:tabs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846.0" w:type="dxa"/>
            <w:jc w:val="left"/>
            <w:tblInd w:w="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846"/>
            <w:tblGridChange w:id="0">
              <w:tblGrid>
                <w:gridCol w:w="84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47">
                <w:pPr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T.D.F.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48">
                <w:pPr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49">
                <w:pPr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4A">
                <w:pPr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40" w:left="1080" w:right="1080" w:header="568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19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“Las Islas Malvinas, Georgias y Sándwich del Sur y los espacios marítimos e insulares correspondientes, son argentinos”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-22688"/>
        <w:tab w:val="left" w:leader="none" w:pos="-17018"/>
      </w:tabs>
      <w:jc w:val="both"/>
      <w:rPr>
        <w:i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160655</wp:posOffset>
          </wp:positionH>
          <wp:positionV relativeFrom="paragraph">
            <wp:posOffset>-139062</wp:posOffset>
          </wp:positionV>
          <wp:extent cx="715010" cy="65278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5010" cy="652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ind w:left="1440" w:firstLine="0"/>
      <w:rPr>
        <w:b w:val="1"/>
        <w:i w:val="1"/>
        <w:sz w:val="14"/>
        <w:szCs w:val="14"/>
      </w:rPr>
    </w:pPr>
    <w:r w:rsidDel="00000000" w:rsidR="00000000" w:rsidRPr="00000000">
      <w:rPr>
        <w:b w:val="1"/>
        <w:sz w:val="20"/>
        <w:szCs w:val="20"/>
        <w:rtl w:val="0"/>
      </w:rPr>
      <w:t xml:space="preserve"> </w:t>
    </w:r>
    <w:r w:rsidDel="00000000" w:rsidR="00000000" w:rsidRPr="00000000">
      <w:rPr>
        <w:b w:val="1"/>
        <w:sz w:val="14"/>
        <w:szCs w:val="14"/>
        <w:rtl w:val="0"/>
      </w:rPr>
      <w:t xml:space="preserve">"2025 - 60º ANIVERSARIO DE LA RESOLUCIÓN 2065 DE LA ASAMBLEA GENERAL DE LAS NACIONES UNIDAS SOBRE LA CUESTIÓN DE LAS ISLAS MALVINAS "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center" w:leader="none" w:pos="-22688"/>
        <w:tab w:val="left" w:leader="none" w:pos="-17018"/>
      </w:tabs>
      <w:jc w:val="both"/>
      <w:rPr>
        <w:i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38100</wp:posOffset>
              </wp:positionV>
              <wp:extent cx="1797685" cy="52959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61445" y="3529493"/>
                        <a:ext cx="176911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 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Provincia de Tierra del Fuego,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Antártida e Islas del Atlántico Sur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         República Argentina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38100</wp:posOffset>
              </wp:positionV>
              <wp:extent cx="1797685" cy="529590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7685" cy="529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0">
    <w:pPr>
      <w:tabs>
        <w:tab w:val="center" w:leader="none" w:pos="-22688"/>
        <w:tab w:val="left" w:leader="none" w:pos="-17018"/>
      </w:tabs>
      <w:jc w:val="both"/>
      <w:rPr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-22688"/>
        <w:tab w:val="left" w:leader="none" w:pos="-17018"/>
      </w:tabs>
      <w:jc w:val="both"/>
      <w:rPr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leader="none" w:pos="-22688"/>
        <w:tab w:val="left" w:leader="none" w:pos="-17018"/>
      </w:tabs>
      <w:jc w:val="right"/>
      <w:rPr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tabs>
        <w:tab w:val="center" w:leader="none" w:pos="-22688"/>
        <w:tab w:val="left" w:leader="none" w:pos="-17018"/>
      </w:tabs>
      <w:ind w:left="-426" w:firstLine="426"/>
      <w:jc w:val="both"/>
      <w:rPr>
        <w:sz w:val="14"/>
        <w:szCs w:val="1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tabs>
        <w:tab w:val="center" w:leader="none" w:pos="4252"/>
        <w:tab w:val="right" w:leader="none" w:pos="8504"/>
      </w:tabs>
      <w:ind w:left="-851" w:firstLine="0"/>
      <w:rPr/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center" w:leader="none" w:pos="-22688"/>
        <w:tab w:val="left" w:leader="none" w:pos="-17018"/>
        <w:tab w:val="left" w:leader="none" w:pos="0"/>
      </w:tabs>
      <w:ind w:left="-1418"/>
    </w:pPr>
    <w:rPr>
      <w:i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center" w:leader="none" w:pos="-22688"/>
        <w:tab w:val="left" w:leader="none" w:pos="-17018"/>
        <w:tab w:val="left" w:leader="none" w:pos="0"/>
      </w:tabs>
      <w:ind w:left="-1418"/>
    </w:pPr>
    <w:rPr>
      <w:i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center" w:leader="none" w:pos="-22688"/>
        <w:tab w:val="left" w:leader="none" w:pos="-17018"/>
        <w:tab w:val="left" w:leader="none" w:pos="0"/>
      </w:tabs>
      <w:ind w:left="-1418"/>
    </w:pPr>
    <w:rPr>
      <w:i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5E70"/>
    <w:rPr>
      <w:sz w:val="22"/>
      <w:szCs w:val="22"/>
      <w:lang w:eastAsia="en-US" w:val="es-AR"/>
    </w:rPr>
  </w:style>
  <w:style w:type="paragraph" w:styleId="Ttulo1">
    <w:name w:val="heading 1"/>
    <w:basedOn w:val="Normal"/>
    <w:next w:val="Normal"/>
    <w:uiPriority w:val="9"/>
    <w:qFormat w:val="1"/>
    <w:rsid w:val="00FF5E7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qFormat w:val="1"/>
    <w:rsid w:val="00FF5E7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qFormat w:val="1"/>
    <w:rsid w:val="00FF5E7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qFormat w:val="1"/>
    <w:rsid w:val="00FF5E7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 w:val="1"/>
    <w:rsid w:val="00FF5E70"/>
    <w:pPr>
      <w:keepNext w:val="1"/>
      <w:tabs>
        <w:tab w:val="center" w:pos="-22688"/>
        <w:tab w:val="left" w:pos="-17018"/>
        <w:tab w:val="left" w:pos="0"/>
      </w:tabs>
      <w:suppressAutoHyphens w:val="1"/>
      <w:ind w:left="-1418"/>
      <w:outlineLvl w:val="4"/>
    </w:pPr>
    <w:rPr>
      <w:rFonts w:eastAsia="Times New Roman"/>
      <w:i w:val="1"/>
      <w:sz w:val="20"/>
      <w:szCs w:val="20"/>
      <w:lang w:eastAsia="ar-SA" w:val="es-ES"/>
    </w:rPr>
  </w:style>
  <w:style w:type="paragraph" w:styleId="Ttulo6">
    <w:name w:val="heading 6"/>
    <w:basedOn w:val="Normal"/>
    <w:next w:val="Normal"/>
    <w:uiPriority w:val="9"/>
    <w:qFormat w:val="1"/>
    <w:rsid w:val="00FF5E7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5Car" w:customStyle="1">
    <w:name w:val="Título 5 Car"/>
    <w:link w:val="Ttulo5"/>
    <w:qFormat w:val="1"/>
    <w:rsid w:val="00FF5E70"/>
    <w:rPr>
      <w:rFonts w:ascii="Times New Roman" w:cs="Times New Roman" w:eastAsia="Times New Roman" w:hAnsi="Times New Roman"/>
      <w:i w:val="1"/>
      <w:sz w:val="20"/>
      <w:szCs w:val="20"/>
      <w:lang w:eastAsia="ar-SA" w:val="es-ES"/>
    </w:rPr>
  </w:style>
  <w:style w:type="character" w:styleId="Refdecomentario">
    <w:name w:val="annotation reference"/>
    <w:uiPriority w:val="99"/>
    <w:unhideWhenUsed w:val="1"/>
    <w:qFormat w:val="1"/>
    <w:rsid w:val="00FF5E70"/>
    <w:rPr>
      <w:sz w:val="16"/>
      <w:szCs w:val="16"/>
    </w:rPr>
  </w:style>
  <w:style w:type="character" w:styleId="Refdenotaalpie">
    <w:name w:val="footnote reference"/>
    <w:uiPriority w:val="99"/>
    <w:unhideWhenUsed w:val="1"/>
    <w:rsid w:val="00FF5E7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 w:val="1"/>
    <w:qFormat w:val="1"/>
    <w:rsid w:val="00FF5E70"/>
    <w:pPr>
      <w:suppressAutoHyphens w:val="1"/>
    </w:pPr>
    <w:rPr>
      <w:rFonts w:eastAsia="Times New Roman"/>
      <w:sz w:val="20"/>
      <w:szCs w:val="20"/>
      <w:lang w:eastAsia="zh-CN" w:val="es-ES"/>
    </w:rPr>
  </w:style>
  <w:style w:type="character" w:styleId="TextonotapieCar" w:customStyle="1">
    <w:name w:val="Texto nota pie Car"/>
    <w:link w:val="Textonotapie"/>
    <w:uiPriority w:val="99"/>
    <w:qFormat w:val="1"/>
    <w:rsid w:val="00FF5E70"/>
    <w:rPr>
      <w:rFonts w:ascii="Times New Roman" w:cs="Times New Roman" w:eastAsia="Times New Roman" w:hAnsi="Times New Roman"/>
      <w:sz w:val="20"/>
      <w:szCs w:val="20"/>
      <w:lang w:eastAsia="zh-CN" w:val="es-ES"/>
    </w:rPr>
  </w:style>
  <w:style w:type="paragraph" w:styleId="Epgrafe">
    <w:name w:val="caption"/>
    <w:basedOn w:val="Normal"/>
    <w:next w:val="Normal"/>
    <w:uiPriority w:val="35"/>
    <w:qFormat w:val="1"/>
    <w:rsid w:val="00FF5E70"/>
    <w:pPr>
      <w:spacing w:after="200"/>
    </w:pPr>
    <w:rPr>
      <w:i w:val="1"/>
      <w:iCs w:val="1"/>
      <w:color w:val="44546a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 w:val="1"/>
    <w:qFormat w:val="1"/>
    <w:rsid w:val="00FF5E70"/>
    <w:rPr>
      <w:b w:val="1"/>
      <w:bCs w:val="1"/>
    </w:rPr>
  </w:style>
  <w:style w:type="paragraph" w:styleId="Textocomentario">
    <w:name w:val="annotation text"/>
    <w:basedOn w:val="Normal"/>
    <w:link w:val="TextocomentarioCar"/>
    <w:uiPriority w:val="99"/>
    <w:unhideWhenUsed w:val="1"/>
    <w:qFormat w:val="1"/>
    <w:rsid w:val="00FF5E70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 w:val="1"/>
    <w:rsid w:val="00FF5E70"/>
    <w:rPr>
      <w:sz w:val="20"/>
      <w:szCs w:val="20"/>
    </w:rPr>
  </w:style>
  <w:style w:type="character" w:styleId="AsuntodelcomentarioCar" w:customStyle="1">
    <w:name w:val="Asunto del comentario Car"/>
    <w:link w:val="Asuntodelcomentario"/>
    <w:uiPriority w:val="99"/>
    <w:semiHidden w:val="1"/>
    <w:rsid w:val="00FF5E70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 w:val="1"/>
    <w:qFormat w:val="1"/>
    <w:rsid w:val="00FF5E70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 w:val="1"/>
    <w:rsid w:val="00FF5E70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qFormat w:val="1"/>
    <w:rsid w:val="00FF5E7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qFormat w:val="1"/>
    <w:rsid w:val="00FF5E70"/>
  </w:style>
  <w:style w:type="paragraph" w:styleId="NormalWeb">
    <w:name w:val="Normal (Web)"/>
    <w:basedOn w:val="Normal"/>
    <w:uiPriority w:val="99"/>
    <w:unhideWhenUsed w:val="1"/>
    <w:qFormat w:val="1"/>
    <w:rsid w:val="00FF5E70"/>
    <w:pPr>
      <w:spacing w:after="119" w:before="100" w:beforeAutospacing="1"/>
    </w:pPr>
    <w:rPr>
      <w:rFonts w:eastAsia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qFormat w:val="1"/>
    <w:rsid w:val="00FF5E7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qFormat w:val="1"/>
    <w:rsid w:val="00FF5E70"/>
  </w:style>
  <w:style w:type="paragraph" w:styleId="Subttulo">
    <w:name w:val="Subtitle"/>
    <w:basedOn w:val="Normal"/>
    <w:next w:val="Normal"/>
    <w:uiPriority w:val="11"/>
    <w:qFormat w:val="1"/>
    <w:rsid w:val="00FF5E7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 w:val="1"/>
    <w:rsid w:val="00FF5E7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FF5E70"/>
    <w:rPr>
      <w:rFonts w:eastAsia="Times New Roman"/>
      <w:lang w:eastAsia="es-AR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FF5E7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FF5E70"/>
    <w:pPr>
      <w:ind w:left="720"/>
      <w:contextualSpacing w:val="1"/>
    </w:pPr>
  </w:style>
  <w:style w:type="paragraph" w:styleId="Standard" w:customStyle="1">
    <w:name w:val="Standard"/>
    <w:qFormat w:val="1"/>
    <w:rsid w:val="00FF5E70"/>
    <w:pPr>
      <w:suppressAutoHyphens w:val="1"/>
      <w:autoSpaceDN w:val="0"/>
      <w:textAlignment w:val="baseline"/>
    </w:pPr>
    <w:rPr>
      <w:rFonts w:cs="F"/>
      <w:kern w:val="3"/>
      <w:sz w:val="22"/>
      <w:szCs w:val="22"/>
      <w:lang w:eastAsia="en-US" w:val="es-AR"/>
    </w:rPr>
  </w:style>
  <w:style w:type="paragraph" w:styleId="Default" w:customStyle="1">
    <w:name w:val="Default"/>
    <w:rsid w:val="0075792C"/>
    <w:pPr>
      <w:suppressAutoHyphens w:val="1"/>
      <w:autoSpaceDN w:val="0"/>
      <w:textAlignment w:val="baseline"/>
    </w:pPr>
    <w:rPr>
      <w:rFonts w:ascii="Century Gothic" w:cs="Century Gothic" w:hAnsi="Century Gothic"/>
      <w:color w:val="000000"/>
      <w:kern w:val="3"/>
      <w:sz w:val="24"/>
      <w:szCs w:val="24"/>
      <w:lang w:eastAsia="en-US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rGauobWfQxLpY7DLvHeiYNm3w==">CgMxLjAaHwoBMBIaChgICVIUChJ0YWJsZS5tZnp1eHI4Z3R1MXM4AHIhMTBfRG9OSl9hOXRHaTBmX0F1azhNR3p4U29YSnN1Tzl4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2024-02-05T17:30:00Z</dcterms:created>
  <dc:creator>Planificancion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3082-12.2.0.13431</vt:lpwstr>
  </property>
  <property fmtid="{D5CDD505-2E9C-101B-9397-08002B2CF9AE}" pid="3" name="ICV">
    <vt:lpwstr>06AA8B6DDC1749CAB65D9C574B4955A0</vt:lpwstr>
  </property>
</Properties>
</file>